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Ramsey Haefner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Signpost Hub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  <w:lang w:val="nl-NL"/>
        </w:rPr>
      </w:pPr>
      <w:r>
        <w:rPr>
          <w:sz w:val="22"/>
          <w:szCs w:val="22"/>
          <w:rtl w:val="0"/>
          <w:lang w:val="nl-NL"/>
        </w:rPr>
        <w:t>Face-to-Face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  <w:spacing w:line="288" w:lineRule="auto"/>
        <w:rPr>
          <w:spacing w:val="0"/>
        </w:rPr>
      </w:pPr>
      <w:r>
        <w:rPr>
          <w:spacing w:val="0"/>
          <w:rtl w:val="0"/>
        </w:rPr>
        <w:t>T</w:t>
      </w:r>
      <w:r>
        <w:rPr>
          <w:spacing w:val="0"/>
          <w:rtl w:val="0"/>
          <w:lang w:val="en-US"/>
        </w:rPr>
        <w:t xml:space="preserve">he transitional moments that occur in an </w:t>
      </w:r>
      <w:r>
        <w:rPr>
          <w:spacing w:val="0"/>
          <w:rtl w:val="0"/>
          <w:lang w:val="en-US"/>
        </w:rPr>
        <w:t xml:space="preserve">office can be some of the most important yet </w:t>
      </w:r>
      <w:r>
        <w:rPr>
          <w:spacing w:val="0"/>
          <w:rtl w:val="0"/>
          <w:lang w:val="en-US"/>
        </w:rPr>
        <w:t xml:space="preserve">over-looked aspects of office relationships. The Signpost Hub influences the gravity </w:t>
      </w:r>
      <w:r>
        <w:rPr>
          <w:spacing w:val="0"/>
          <w:rtl w:val="0"/>
          <w:lang w:val="en-US"/>
        </w:rPr>
        <w:t xml:space="preserve">or flow of movement through a work </w:t>
      </w:r>
      <w:r>
        <w:rPr>
          <w:spacing w:val="0"/>
          <w:rtl w:val="0"/>
          <w:lang w:val="en-US"/>
        </w:rPr>
        <w:t xml:space="preserve">environment by creating a gathering space for people passing by. In gathering around </w:t>
      </w:r>
      <w:r>
        <w:rPr>
          <w:spacing w:val="0"/>
          <w:rtl w:val="0"/>
          <w:lang w:val="en-US"/>
        </w:rPr>
        <w:t xml:space="preserve">a common messenging post, people </w:t>
      </w:r>
      <w:r>
        <w:rPr>
          <w:spacing w:val="0"/>
          <w:rtl w:val="0"/>
          <w:lang w:val="en-US"/>
        </w:rPr>
        <w:t>will converse and bond through shared information of interests, forming a more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  <w:lang w:val="en-US"/>
        </w:rPr>
        <w:t xml:space="preserve">empathetic work environment. As well as </w:t>
      </w:r>
      <w:r>
        <w:rPr>
          <w:spacing w:val="0"/>
          <w:rtl w:val="0"/>
          <w:lang w:val="en-US"/>
        </w:rPr>
        <w:t xml:space="preserve">serving as a communication point, the space </w:t>
      </w:r>
      <w:r>
        <w:rPr>
          <w:spacing w:val="0"/>
          <w:rtl w:val="0"/>
          <w:lang w:val="en-US"/>
        </w:rPr>
        <w:t>created should allow people to break from standard work patterns. The Signpost Hub can function in a variety of locations, adapt to different situations and allow users to alter it</w:t>
      </w:r>
      <w:r>
        <w:rPr>
          <w:rFonts w:hAnsi="Helvetica" w:hint="default"/>
          <w:spacing w:val="0"/>
          <w:rtl w:val="0"/>
          <w:lang w:val="fr-FR"/>
        </w:rPr>
        <w:t>’</w:t>
      </w:r>
      <w:r>
        <w:rPr>
          <w:spacing w:val="0"/>
          <w:rtl w:val="0"/>
          <w:lang w:val="en-US"/>
        </w:rPr>
        <w:t>s physical appearance through interaction.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